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94" w:rsidRPr="006A5194" w:rsidRDefault="006A5194" w:rsidP="006A5194">
      <w:pPr>
        <w:pStyle w:val="Title"/>
        <w:rPr>
          <w:sz w:val="18"/>
        </w:rPr>
      </w:pPr>
      <w:r>
        <w:rPr>
          <w:noProof/>
          <w:sz w:val="18"/>
          <w:lang w:val="en-CA" w:eastAsia="en-CA"/>
        </w:rPr>
        <w:drawing>
          <wp:inline distT="0" distB="0" distL="0" distR="0">
            <wp:extent cx="3038475" cy="127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dcf_logo_full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241" cy="1282438"/>
                    </a:xfrm>
                    <a:prstGeom prst="rect">
                      <a:avLst/>
                    </a:prstGeom>
                  </pic:spPr>
                </pic:pic>
              </a:graphicData>
            </a:graphic>
          </wp:inline>
        </w:drawing>
      </w:r>
    </w:p>
    <w:p w:rsidR="006A5194" w:rsidRDefault="006A5194" w:rsidP="006A5194">
      <w:pPr>
        <w:jc w:val="center"/>
        <w:rPr>
          <w:b/>
          <w:sz w:val="22"/>
        </w:rPr>
      </w:pPr>
    </w:p>
    <w:p w:rsidR="006A5194" w:rsidRPr="006A5194" w:rsidRDefault="006A5194" w:rsidP="006A5194">
      <w:pPr>
        <w:jc w:val="center"/>
        <w:rPr>
          <w:b/>
          <w:sz w:val="32"/>
        </w:rPr>
      </w:pPr>
      <w:r w:rsidRPr="006A5194">
        <w:rPr>
          <w:b/>
          <w:sz w:val="32"/>
        </w:rPr>
        <w:t>Grant Application</w:t>
      </w:r>
    </w:p>
    <w:p w:rsidR="006A5194" w:rsidRPr="006A5194" w:rsidRDefault="00786950" w:rsidP="006A5194">
      <w:pPr>
        <w:jc w:val="center"/>
        <w:rPr>
          <w:b/>
          <w:sz w:val="22"/>
        </w:rPr>
      </w:pPr>
      <w:r>
        <w:rPr>
          <w:b/>
          <w:sz w:val="32"/>
        </w:rPr>
        <w:t>Sylvan Lake Community Endowment Fund</w:t>
      </w:r>
    </w:p>
    <w:tbl>
      <w:tblPr>
        <w:tblW w:w="0" w:type="auto"/>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6584"/>
      </w:tblGrid>
      <w:tr w:rsidR="006A5194" w:rsidRPr="006A5194" w:rsidTr="006A5194">
        <w:trPr>
          <w:trHeight w:val="1487"/>
          <w:jc w:val="center"/>
        </w:trPr>
        <w:tc>
          <w:tcPr>
            <w:tcW w:w="6584" w:type="dxa"/>
          </w:tcPr>
          <w:p w:rsidR="006A5194" w:rsidRPr="006A5194" w:rsidRDefault="006A5194" w:rsidP="00E442CC">
            <w:pPr>
              <w:pStyle w:val="BodyText2"/>
              <w:rPr>
                <w:b/>
                <w:sz w:val="20"/>
              </w:rPr>
            </w:pPr>
          </w:p>
          <w:p w:rsidR="006A5194" w:rsidRPr="006A5194" w:rsidRDefault="006A5194" w:rsidP="006A5194">
            <w:pPr>
              <w:pStyle w:val="BodyText2"/>
              <w:jc w:val="center"/>
              <w:rPr>
                <w:b/>
                <w:sz w:val="20"/>
              </w:rPr>
            </w:pPr>
            <w:r w:rsidRPr="006A5194">
              <w:rPr>
                <w:b/>
              </w:rPr>
              <w:t>The Red Deer &amp; District Community Foundation is a community catalyst committed to building a legacy which strengthens the quality of life in Red Deer and the surrounding area.</w:t>
            </w:r>
          </w:p>
        </w:tc>
      </w:tr>
    </w:tbl>
    <w:p w:rsidR="006A5194" w:rsidRPr="006A5194" w:rsidRDefault="006A5194" w:rsidP="006A5194">
      <w:pPr>
        <w:jc w:val="both"/>
      </w:pPr>
    </w:p>
    <w:p w:rsidR="006A5194" w:rsidRDefault="006A5194" w:rsidP="006A5194">
      <w:pPr>
        <w:pStyle w:val="Heading2"/>
        <w:rPr>
          <w:b/>
          <w:sz w:val="22"/>
        </w:rPr>
      </w:pPr>
    </w:p>
    <w:p w:rsidR="006A5194" w:rsidRPr="006A5194" w:rsidRDefault="006A5194" w:rsidP="006A5194">
      <w:pPr>
        <w:pStyle w:val="Heading2"/>
        <w:rPr>
          <w:b/>
          <w:sz w:val="24"/>
        </w:rPr>
      </w:pPr>
      <w:r w:rsidRPr="006A5194">
        <w:rPr>
          <w:b/>
          <w:sz w:val="24"/>
        </w:rPr>
        <w:t>Guiding Principles of the Red Deer &amp; District</w:t>
      </w:r>
      <w:r w:rsidRPr="006A5194">
        <w:rPr>
          <w:sz w:val="24"/>
        </w:rPr>
        <w:t xml:space="preserve"> </w:t>
      </w:r>
      <w:r w:rsidRPr="006A5194">
        <w:rPr>
          <w:b/>
          <w:sz w:val="24"/>
        </w:rPr>
        <w:t>Community Foundation</w:t>
      </w:r>
    </w:p>
    <w:p w:rsidR="006A5194" w:rsidRPr="006A5194" w:rsidRDefault="006A5194" w:rsidP="006A5194">
      <w:pPr>
        <w:jc w:val="center"/>
      </w:pPr>
    </w:p>
    <w:p w:rsidR="006A5194" w:rsidRPr="006A5194" w:rsidRDefault="006A5194" w:rsidP="006A5194">
      <w:pPr>
        <w:pStyle w:val="Heading3"/>
        <w:rPr>
          <w:b/>
          <w:sz w:val="22"/>
        </w:rPr>
      </w:pPr>
      <w:r w:rsidRPr="006A5194">
        <w:rPr>
          <w:b/>
          <w:sz w:val="22"/>
        </w:rPr>
        <w:t>A Community Catalyst</w:t>
      </w:r>
    </w:p>
    <w:p w:rsidR="006A5194" w:rsidRPr="006A5194" w:rsidRDefault="006A5194" w:rsidP="006A5194">
      <w:pPr>
        <w:pStyle w:val="BodyText"/>
        <w:rPr>
          <w:i w:val="0"/>
          <w:sz w:val="22"/>
        </w:rPr>
      </w:pPr>
      <w:r w:rsidRPr="006A5194">
        <w:rPr>
          <w:i w:val="0"/>
          <w:sz w:val="22"/>
        </w:rPr>
        <w:t>We work with community and for community by supporting organizations that demonstrate a collaborative approach.  We support innovative projects that align with our guiding principles.  Not every new idea will work, but we will learn from every project.</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Quality of Life</w:t>
      </w:r>
    </w:p>
    <w:p w:rsidR="006A5194" w:rsidRPr="006A5194" w:rsidRDefault="006A5194" w:rsidP="006A5194">
      <w:pPr>
        <w:pStyle w:val="BodyText"/>
        <w:rPr>
          <w:i w:val="0"/>
          <w:sz w:val="22"/>
        </w:rPr>
      </w:pPr>
      <w:r w:rsidRPr="006A5194">
        <w:rPr>
          <w:i w:val="0"/>
          <w:sz w:val="22"/>
        </w:rPr>
        <w:t xml:space="preserve">We are committed to strengthening the quality of life in </w:t>
      </w:r>
      <w:smartTag w:uri="urn:schemas-microsoft-com:office:smarttags" w:element="City">
        <w:smartTag w:uri="urn:schemas-microsoft-com:office:smarttags" w:element="place">
          <w:r w:rsidRPr="006A5194">
            <w:rPr>
              <w:i w:val="0"/>
              <w:sz w:val="22"/>
            </w:rPr>
            <w:t>Red Deer</w:t>
          </w:r>
        </w:smartTag>
      </w:smartTag>
      <w:r w:rsidRPr="006A5194">
        <w:rPr>
          <w:i w:val="0"/>
          <w:sz w:val="22"/>
        </w:rPr>
        <w:t xml:space="preserve"> and the surrounding area.  We build on the strengths of the community and address issues that detract from community wellbeing by supporting organizations that share this goal with us.</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Stewardship</w:t>
      </w:r>
    </w:p>
    <w:p w:rsidR="006A5194" w:rsidRPr="006A5194" w:rsidRDefault="006A5194" w:rsidP="006A5194">
      <w:pPr>
        <w:pStyle w:val="BodyText"/>
        <w:rPr>
          <w:i w:val="0"/>
          <w:sz w:val="22"/>
        </w:rPr>
      </w:pPr>
      <w:r w:rsidRPr="006A5194">
        <w:rPr>
          <w:i w:val="0"/>
          <w:sz w:val="22"/>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6A5194" w:rsidRPr="006A5194" w:rsidRDefault="006A5194" w:rsidP="006A5194">
      <w:pPr>
        <w:pStyle w:val="BodyText"/>
        <w:rPr>
          <w:i w:val="0"/>
          <w:sz w:val="22"/>
        </w:rPr>
      </w:pPr>
    </w:p>
    <w:p w:rsidR="006A5194" w:rsidRPr="006A5194" w:rsidRDefault="006A5194" w:rsidP="006A5194">
      <w:pPr>
        <w:pStyle w:val="BodyText"/>
        <w:jc w:val="center"/>
        <w:rPr>
          <w:b/>
          <w:sz w:val="22"/>
        </w:rPr>
      </w:pPr>
      <w:r w:rsidRPr="006A5194">
        <w:rPr>
          <w:b/>
          <w:sz w:val="22"/>
        </w:rPr>
        <w:t>Proactive Attitude</w:t>
      </w:r>
    </w:p>
    <w:p w:rsidR="006A5194" w:rsidRPr="006A5194" w:rsidRDefault="006A5194" w:rsidP="006A5194">
      <w:pPr>
        <w:pStyle w:val="BodyText"/>
        <w:rPr>
          <w:i w:val="0"/>
          <w:sz w:val="22"/>
        </w:rPr>
      </w:pPr>
      <w:r w:rsidRPr="006A5194">
        <w:rPr>
          <w:i w:val="0"/>
          <w:sz w:val="22"/>
        </w:rPr>
        <w:t>The Foundation does not necessarily wait for applications.  Through strong community relationships we identify and address issues with other community organizations and district municipalities.</w:t>
      </w:r>
    </w:p>
    <w:p w:rsidR="006A5194" w:rsidRPr="006A5194" w:rsidRDefault="006A5194" w:rsidP="006A5194">
      <w:pPr>
        <w:pStyle w:val="BodyText"/>
        <w:rPr>
          <w:i w:val="0"/>
          <w:sz w:val="22"/>
        </w:rPr>
      </w:pPr>
    </w:p>
    <w:p w:rsidR="006A5194" w:rsidRPr="006A5194" w:rsidRDefault="006A5194" w:rsidP="006A5194">
      <w:pPr>
        <w:pStyle w:val="Heading3"/>
        <w:rPr>
          <w:b/>
          <w:sz w:val="22"/>
        </w:rPr>
      </w:pPr>
      <w:r w:rsidRPr="006A5194">
        <w:rPr>
          <w:b/>
          <w:sz w:val="22"/>
        </w:rPr>
        <w:t>Volunteer Support</w:t>
      </w:r>
    </w:p>
    <w:p w:rsidR="006A5194" w:rsidRPr="006A5194" w:rsidRDefault="006A5194" w:rsidP="006A5194">
      <w:pPr>
        <w:pStyle w:val="BodyText2"/>
        <w:rPr>
          <w:sz w:val="22"/>
        </w:rPr>
      </w:pPr>
      <w:r w:rsidRPr="006A5194">
        <w:rPr>
          <w:sz w:val="22"/>
        </w:rPr>
        <w:t>Programs that utilize a strong volunteer force, or are dedicated to supporting volunteers, will be priority for Foundation support.</w:t>
      </w:r>
    </w:p>
    <w:p w:rsidR="006A5194" w:rsidRPr="006A5194" w:rsidRDefault="006A5194" w:rsidP="006A5194">
      <w:pPr>
        <w:jc w:val="both"/>
        <w:rPr>
          <w:sz w:val="22"/>
        </w:rPr>
      </w:pPr>
    </w:p>
    <w:p w:rsidR="006A5194" w:rsidRPr="006A5194" w:rsidRDefault="006A5194" w:rsidP="006A5194">
      <w:pPr>
        <w:pStyle w:val="Heading3"/>
        <w:rPr>
          <w:b/>
          <w:sz w:val="22"/>
        </w:rPr>
      </w:pPr>
      <w:smartTag w:uri="urn:schemas-microsoft-com:office:smarttags" w:element="City">
        <w:smartTag w:uri="urn:schemas-microsoft-com:office:smarttags" w:element="place">
          <w:r w:rsidRPr="006A5194">
            <w:rPr>
              <w:b/>
              <w:sz w:val="22"/>
            </w:rPr>
            <w:t>Independence</w:t>
          </w:r>
        </w:smartTag>
      </w:smartTag>
      <w:r w:rsidRPr="006A5194">
        <w:rPr>
          <w:b/>
          <w:sz w:val="22"/>
        </w:rPr>
        <w:t xml:space="preserve"> for Individuals</w:t>
      </w:r>
    </w:p>
    <w:p w:rsidR="006A5194" w:rsidRPr="006A5194" w:rsidRDefault="006A5194" w:rsidP="006A5194">
      <w:pPr>
        <w:pStyle w:val="BodyText2"/>
        <w:rPr>
          <w:sz w:val="22"/>
        </w:rPr>
      </w:pPr>
      <w:r w:rsidRPr="006A5194">
        <w:rPr>
          <w:sz w:val="22"/>
        </w:rPr>
        <w:t>Community development means building the capacity of individuals to be independent and self-sustaining.  We will give strong consideration to projects that support this principle.</w:t>
      </w:r>
    </w:p>
    <w:p w:rsidR="006A5194" w:rsidRPr="006A5194" w:rsidRDefault="006A5194" w:rsidP="006A5194">
      <w:pPr>
        <w:pStyle w:val="BodyText2"/>
        <w:rPr>
          <w:sz w:val="22"/>
        </w:rPr>
      </w:pPr>
    </w:p>
    <w:p w:rsidR="006A5194" w:rsidRPr="006A5194" w:rsidRDefault="006A5194" w:rsidP="006A5194">
      <w:pPr>
        <w:pStyle w:val="BodyText2"/>
        <w:jc w:val="center"/>
        <w:rPr>
          <w:b/>
          <w:sz w:val="32"/>
          <w:szCs w:val="24"/>
        </w:rPr>
      </w:pPr>
      <w:r w:rsidRPr="006A5194">
        <w:rPr>
          <w:b/>
          <w:sz w:val="32"/>
          <w:szCs w:val="24"/>
        </w:rPr>
        <w:lastRenderedPageBreak/>
        <w:t>Application Process</w:t>
      </w:r>
    </w:p>
    <w:p w:rsidR="006A5194" w:rsidRPr="006A5194" w:rsidRDefault="006A5194" w:rsidP="006A5194">
      <w:pPr>
        <w:jc w:val="center"/>
        <w:rPr>
          <w:b/>
          <w:sz w:val="22"/>
        </w:rPr>
      </w:pPr>
    </w:p>
    <w:p w:rsidR="006A5194" w:rsidRPr="006A5194" w:rsidRDefault="006A5194" w:rsidP="006A5194">
      <w:pPr>
        <w:numPr>
          <w:ilvl w:val="0"/>
          <w:numId w:val="1"/>
        </w:numPr>
        <w:jc w:val="both"/>
        <w:rPr>
          <w:sz w:val="22"/>
        </w:rPr>
      </w:pPr>
      <w:r w:rsidRPr="006A5194">
        <w:rPr>
          <w:sz w:val="22"/>
        </w:rPr>
        <w:t>Please contact the Red Deer &amp; District Community Foundation office to discuss your proposal before completing and submitting the application package.</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 xml:space="preserve">Only </w:t>
      </w:r>
      <w:r w:rsidRPr="006A5194">
        <w:rPr>
          <w:b/>
          <w:sz w:val="22"/>
        </w:rPr>
        <w:t>QUALIFIED DONEES</w:t>
      </w:r>
      <w:r w:rsidRPr="006A5194">
        <w:rPr>
          <w:sz w:val="22"/>
        </w:rPr>
        <w:t>, as defined by the Canadian Income Tax Act, are eligible for Foundation grants</w:t>
      </w:r>
      <w:ins w:id="0" w:author="Tom" w:date="2018-12-09T11:21:00Z">
        <w:r w:rsidRPr="006A5194">
          <w:rPr>
            <w:sz w:val="22"/>
          </w:rPr>
          <w:t>,</w:t>
        </w:r>
      </w:ins>
      <w:r w:rsidRPr="006A5194">
        <w:rPr>
          <w:sz w:val="22"/>
        </w:rPr>
        <w:t xml:space="preserve"> including, but not limited to, registered charities, registered Canadian amateur athletic associations; certain housing corporations providing low-cost accommodation to the elderly and local municipalities</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The Board will not consider applications for deficit funding of projects.</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 xml:space="preserve">The grant application submission deadline for </w:t>
      </w:r>
      <w:r w:rsidR="00CD58B4">
        <w:rPr>
          <w:b/>
          <w:sz w:val="22"/>
        </w:rPr>
        <w:t>Spring</w:t>
      </w:r>
      <w:r w:rsidRPr="006A5194">
        <w:rPr>
          <w:b/>
          <w:sz w:val="22"/>
        </w:rPr>
        <w:t xml:space="preserve"> </w:t>
      </w:r>
      <w:r w:rsidR="00CD58B4">
        <w:rPr>
          <w:b/>
          <w:sz w:val="22"/>
        </w:rPr>
        <w:t>2020</w:t>
      </w:r>
      <w:r w:rsidRPr="006A5194">
        <w:rPr>
          <w:sz w:val="22"/>
        </w:rPr>
        <w:t xml:space="preserve"> will be </w:t>
      </w:r>
      <w:r w:rsidR="00CD58B4">
        <w:rPr>
          <w:b/>
          <w:sz w:val="22"/>
        </w:rPr>
        <w:t>Wednesday</w:t>
      </w:r>
      <w:r w:rsidRPr="006A5194">
        <w:rPr>
          <w:b/>
          <w:sz w:val="22"/>
        </w:rPr>
        <w:t xml:space="preserve">, </w:t>
      </w:r>
      <w:r w:rsidR="00CD58B4">
        <w:rPr>
          <w:b/>
          <w:sz w:val="22"/>
        </w:rPr>
        <w:t>April</w:t>
      </w:r>
      <w:r w:rsidRPr="006A5194">
        <w:rPr>
          <w:b/>
          <w:sz w:val="22"/>
        </w:rPr>
        <w:t xml:space="preserve"> 1</w:t>
      </w:r>
      <w:r w:rsidR="00035784">
        <w:rPr>
          <w:b/>
          <w:sz w:val="22"/>
        </w:rPr>
        <w:t>5</w:t>
      </w:r>
      <w:bookmarkStart w:id="1" w:name="_GoBack"/>
      <w:bookmarkEnd w:id="1"/>
      <w:r w:rsidRPr="006A5194">
        <w:rPr>
          <w:sz w:val="22"/>
        </w:rPr>
        <w:t xml:space="preserve"> at </w:t>
      </w:r>
      <w:r w:rsidRPr="006A5194">
        <w:rPr>
          <w:b/>
          <w:sz w:val="22"/>
        </w:rPr>
        <w:t>4:30pm</w:t>
      </w:r>
      <w:r w:rsidRPr="006A5194">
        <w:rPr>
          <w:sz w:val="22"/>
        </w:rPr>
        <w:t>.  Please contact the office for future dates. Grant applications submitted after the grant submission deadline will not be considered for funding and will be returned.</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A complete grant package must be delivered (not postmarked) to the Foundation office on or before the submission deadline.  A complete grant application will include all of the following:</w:t>
      </w:r>
    </w:p>
    <w:p w:rsidR="006A5194" w:rsidRPr="006A5194" w:rsidRDefault="006A5194" w:rsidP="006A5194">
      <w:pPr>
        <w:jc w:val="both"/>
        <w:rPr>
          <w:sz w:val="22"/>
        </w:rPr>
      </w:pPr>
    </w:p>
    <w:p w:rsidR="006A5194" w:rsidRPr="006A5194" w:rsidRDefault="006A5194" w:rsidP="00CD58B4">
      <w:pPr>
        <w:jc w:val="both"/>
        <w:rPr>
          <w:b/>
          <w:bCs/>
          <w:sz w:val="22"/>
        </w:rPr>
      </w:pPr>
      <w:r w:rsidRPr="006A5194">
        <w:rPr>
          <w:b/>
          <w:bCs/>
          <w:sz w:val="22"/>
        </w:rPr>
        <w:t xml:space="preserve">The </w:t>
      </w:r>
      <w:r w:rsidR="00CD58B4">
        <w:rPr>
          <w:b/>
          <w:bCs/>
          <w:sz w:val="22"/>
        </w:rPr>
        <w:t>original application PLUS</w:t>
      </w:r>
      <w:r w:rsidRPr="006A5194">
        <w:rPr>
          <w:b/>
          <w:bCs/>
          <w:sz w:val="22"/>
        </w:rPr>
        <w:t xml:space="preserve"> </w:t>
      </w:r>
      <w:r w:rsidR="00CD58B4">
        <w:rPr>
          <w:b/>
          <w:bCs/>
          <w:sz w:val="22"/>
        </w:rPr>
        <w:t>six</w:t>
      </w:r>
      <w:r w:rsidRPr="006A5194">
        <w:rPr>
          <w:b/>
          <w:bCs/>
          <w:sz w:val="22"/>
        </w:rPr>
        <w:t xml:space="preserve"> (</w:t>
      </w:r>
      <w:r w:rsidR="00CD58B4">
        <w:rPr>
          <w:b/>
          <w:bCs/>
          <w:sz w:val="22"/>
        </w:rPr>
        <w:t>6</w:t>
      </w:r>
      <w:r w:rsidRPr="006A5194">
        <w:rPr>
          <w:b/>
          <w:bCs/>
          <w:sz w:val="22"/>
        </w:rPr>
        <w:t>) copies of each:</w:t>
      </w:r>
    </w:p>
    <w:p w:rsidR="006A5194" w:rsidRPr="006A5194" w:rsidRDefault="006A5194" w:rsidP="006A5194">
      <w:pPr>
        <w:numPr>
          <w:ilvl w:val="0"/>
          <w:numId w:val="3"/>
        </w:numPr>
        <w:tabs>
          <w:tab w:val="clear" w:pos="1440"/>
        </w:tabs>
        <w:ind w:left="1080"/>
        <w:jc w:val="both"/>
        <w:rPr>
          <w:b/>
          <w:bCs/>
          <w:sz w:val="22"/>
        </w:rPr>
      </w:pPr>
      <w:r w:rsidRPr="006A5194">
        <w:rPr>
          <w:b/>
          <w:bCs/>
          <w:sz w:val="22"/>
        </w:rPr>
        <w:t>Part A and Part B (</w:t>
      </w:r>
      <w:r w:rsidR="00671F8E">
        <w:rPr>
          <w:b/>
          <w:bCs/>
          <w:sz w:val="22"/>
        </w:rPr>
        <w:t>the</w:t>
      </w:r>
      <w:r w:rsidRPr="006A5194">
        <w:rPr>
          <w:b/>
          <w:bCs/>
          <w:sz w:val="22"/>
        </w:rPr>
        <w:t xml:space="preserve"> </w:t>
      </w:r>
      <w:r w:rsidR="00C44809">
        <w:rPr>
          <w:b/>
          <w:bCs/>
          <w:sz w:val="22"/>
        </w:rPr>
        <w:t xml:space="preserve">downloadable </w:t>
      </w:r>
      <w:r w:rsidR="002F0D2E">
        <w:rPr>
          <w:b/>
          <w:bCs/>
          <w:sz w:val="22"/>
        </w:rPr>
        <w:t>“</w:t>
      </w:r>
      <w:r w:rsidR="00786950">
        <w:rPr>
          <w:b/>
          <w:bCs/>
          <w:sz w:val="22"/>
        </w:rPr>
        <w:t>SLCEF</w:t>
      </w:r>
      <w:r w:rsidR="002F0D2E">
        <w:rPr>
          <w:b/>
          <w:bCs/>
          <w:sz w:val="22"/>
        </w:rPr>
        <w:t xml:space="preserve"> Grant Application”</w:t>
      </w:r>
      <w:r w:rsidRPr="006A5194">
        <w:rPr>
          <w:b/>
          <w:bCs/>
          <w:sz w:val="22"/>
        </w:rPr>
        <w:t>) are required.</w:t>
      </w:r>
    </w:p>
    <w:p w:rsidR="006A5194" w:rsidRPr="006A5194" w:rsidRDefault="006A5194" w:rsidP="006A5194">
      <w:pPr>
        <w:numPr>
          <w:ilvl w:val="0"/>
          <w:numId w:val="3"/>
        </w:numPr>
        <w:tabs>
          <w:tab w:val="clear" w:pos="1440"/>
        </w:tabs>
        <w:ind w:left="1080"/>
        <w:jc w:val="both"/>
        <w:rPr>
          <w:b/>
          <w:bCs/>
          <w:sz w:val="22"/>
        </w:rPr>
      </w:pPr>
      <w:r w:rsidRPr="006A5194">
        <w:rPr>
          <w:b/>
          <w:bCs/>
          <w:sz w:val="22"/>
        </w:rPr>
        <w:t>Audited financial statements (as per your organization by-laws)</w:t>
      </w:r>
    </w:p>
    <w:p w:rsidR="006A5194" w:rsidRPr="006A5194" w:rsidRDefault="006A5194" w:rsidP="006A5194">
      <w:pPr>
        <w:jc w:val="both"/>
        <w:rPr>
          <w:b/>
          <w:bCs/>
          <w:sz w:val="22"/>
        </w:rPr>
      </w:pPr>
    </w:p>
    <w:p w:rsidR="006A5194" w:rsidRPr="006A5194" w:rsidRDefault="006A5194" w:rsidP="00CD58B4">
      <w:pPr>
        <w:jc w:val="both"/>
        <w:rPr>
          <w:b/>
          <w:bCs/>
          <w:sz w:val="22"/>
        </w:rPr>
      </w:pPr>
      <w:r w:rsidRPr="006A5194">
        <w:rPr>
          <w:b/>
          <w:bCs/>
          <w:sz w:val="22"/>
        </w:rPr>
        <w:t>One (1) copy of each:</w:t>
      </w:r>
    </w:p>
    <w:p w:rsidR="006A5194" w:rsidRPr="006A5194" w:rsidRDefault="006A5194" w:rsidP="006A5194">
      <w:pPr>
        <w:jc w:val="both"/>
        <w:rPr>
          <w:b/>
          <w:bCs/>
          <w:sz w:val="22"/>
        </w:rPr>
      </w:pPr>
    </w:p>
    <w:p w:rsidR="00C44809" w:rsidRPr="006A5194" w:rsidRDefault="00C44809" w:rsidP="00C44809">
      <w:pPr>
        <w:numPr>
          <w:ilvl w:val="0"/>
          <w:numId w:val="2"/>
        </w:numPr>
        <w:tabs>
          <w:tab w:val="clear" w:pos="360"/>
          <w:tab w:val="num" w:pos="1080"/>
        </w:tabs>
        <w:ind w:left="1080"/>
        <w:jc w:val="both"/>
        <w:rPr>
          <w:b/>
          <w:bCs/>
          <w:sz w:val="22"/>
        </w:rPr>
      </w:pPr>
      <w:r w:rsidRPr="006A5194">
        <w:rPr>
          <w:b/>
          <w:bCs/>
          <w:sz w:val="22"/>
        </w:rPr>
        <w:t>Evidence of Charitable status with Canada Revenue Agency (front page of your T3010)</w:t>
      </w:r>
    </w:p>
    <w:p w:rsidR="00C44809" w:rsidRPr="006A5194" w:rsidRDefault="00C44809" w:rsidP="00C44809">
      <w:pPr>
        <w:numPr>
          <w:ilvl w:val="0"/>
          <w:numId w:val="2"/>
        </w:numPr>
        <w:tabs>
          <w:tab w:val="clear" w:pos="360"/>
          <w:tab w:val="num" w:pos="1080"/>
        </w:tabs>
        <w:ind w:left="1080"/>
        <w:jc w:val="both"/>
        <w:rPr>
          <w:b/>
          <w:bCs/>
          <w:sz w:val="22"/>
        </w:rPr>
      </w:pPr>
      <w:r w:rsidRPr="006A5194">
        <w:rPr>
          <w:b/>
          <w:bCs/>
          <w:sz w:val="22"/>
        </w:rPr>
        <w:t>Minutes of the Board meeting authorizing this grant request</w:t>
      </w:r>
    </w:p>
    <w:p w:rsidR="00C44809" w:rsidRPr="006A5194" w:rsidRDefault="00C44809" w:rsidP="00C44809">
      <w:pPr>
        <w:numPr>
          <w:ilvl w:val="0"/>
          <w:numId w:val="2"/>
        </w:numPr>
        <w:tabs>
          <w:tab w:val="clear" w:pos="360"/>
          <w:tab w:val="num" w:pos="1080"/>
        </w:tabs>
        <w:ind w:left="1080"/>
        <w:jc w:val="both"/>
        <w:rPr>
          <w:b/>
          <w:bCs/>
          <w:sz w:val="22"/>
        </w:rPr>
      </w:pPr>
      <w:r w:rsidRPr="006A5194">
        <w:rPr>
          <w:b/>
          <w:bCs/>
          <w:sz w:val="22"/>
        </w:rPr>
        <w:t>Certificate of Incorporation</w:t>
      </w:r>
    </w:p>
    <w:p w:rsidR="00C44809" w:rsidRPr="006A5194" w:rsidRDefault="00C44809" w:rsidP="00C44809">
      <w:pPr>
        <w:numPr>
          <w:ilvl w:val="0"/>
          <w:numId w:val="2"/>
        </w:numPr>
        <w:tabs>
          <w:tab w:val="clear" w:pos="360"/>
          <w:tab w:val="num" w:pos="1080"/>
        </w:tabs>
        <w:ind w:left="1080"/>
        <w:jc w:val="both"/>
        <w:rPr>
          <w:b/>
          <w:bCs/>
          <w:sz w:val="22"/>
        </w:rPr>
      </w:pPr>
      <w:r w:rsidRPr="006A5194">
        <w:rPr>
          <w:b/>
          <w:bCs/>
          <w:sz w:val="22"/>
        </w:rPr>
        <w:t xml:space="preserve">Original signed Declaration of Intent </w:t>
      </w:r>
      <w:r>
        <w:rPr>
          <w:b/>
          <w:bCs/>
          <w:sz w:val="22"/>
        </w:rPr>
        <w:t xml:space="preserve">(the downloadable “Declaration of Intent”) </w:t>
      </w:r>
      <w:r w:rsidRPr="006A5194">
        <w:rPr>
          <w:b/>
          <w:bCs/>
          <w:sz w:val="22"/>
        </w:rPr>
        <w:t>and Statutory Declaration (</w:t>
      </w:r>
      <w:r>
        <w:rPr>
          <w:b/>
          <w:bCs/>
          <w:sz w:val="22"/>
        </w:rPr>
        <w:t>the downloadable “Statutory Declaration”</w:t>
      </w:r>
      <w:r w:rsidRPr="006A5194">
        <w:rPr>
          <w:b/>
          <w:bCs/>
          <w:sz w:val="22"/>
        </w:rPr>
        <w:t>)</w:t>
      </w:r>
    </w:p>
    <w:p w:rsidR="006A5194" w:rsidRPr="006A5194" w:rsidRDefault="006A5194" w:rsidP="006A5194">
      <w:pPr>
        <w:jc w:val="both"/>
        <w:rPr>
          <w:sz w:val="22"/>
        </w:rPr>
      </w:pP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Grant allocations will be announced approximately six weeks after the grant submission deadline.</w:t>
      </w:r>
    </w:p>
    <w:p w:rsidR="006A5194" w:rsidRPr="006A5194" w:rsidRDefault="006A5194" w:rsidP="006A5194">
      <w:pPr>
        <w:jc w:val="both"/>
        <w:rPr>
          <w:sz w:val="22"/>
        </w:rPr>
      </w:pPr>
    </w:p>
    <w:p w:rsidR="006A5194" w:rsidRPr="006A5194" w:rsidRDefault="006A5194" w:rsidP="006A5194">
      <w:pPr>
        <w:numPr>
          <w:ilvl w:val="0"/>
          <w:numId w:val="1"/>
        </w:numPr>
        <w:jc w:val="both"/>
        <w:rPr>
          <w:sz w:val="22"/>
        </w:rPr>
      </w:pPr>
      <w:r w:rsidRPr="006A5194">
        <w:rPr>
          <w:sz w:val="22"/>
        </w:rPr>
        <w:t>Grant recipients are fully accountable to the Foundation for funds received.  As such, applicants will be required to sign the Declaration of Intent and the Statutory Declaration (</w:t>
      </w:r>
      <w:r w:rsidR="00CD58B4">
        <w:rPr>
          <w:sz w:val="22"/>
        </w:rPr>
        <w:t>separate downloads</w:t>
      </w:r>
      <w:r w:rsidRPr="006A5194">
        <w:rPr>
          <w:sz w:val="22"/>
        </w:rPr>
        <w:t>) and fulfill the requirements therein.</w:t>
      </w:r>
    </w:p>
    <w:p w:rsidR="006A5194" w:rsidRPr="006A5194" w:rsidRDefault="006A5194" w:rsidP="006A5194">
      <w:pPr>
        <w:jc w:val="both"/>
        <w:rPr>
          <w:sz w:val="22"/>
        </w:rPr>
      </w:pPr>
    </w:p>
    <w:p w:rsidR="006A5194" w:rsidRPr="00CD58B4" w:rsidRDefault="00CD58B4" w:rsidP="006A5194">
      <w:pPr>
        <w:pStyle w:val="BodyText2"/>
        <w:rPr>
          <w:sz w:val="18"/>
        </w:rPr>
      </w:pPr>
      <w:r>
        <w:rPr>
          <w:sz w:val="22"/>
        </w:rPr>
        <w:t>*</w:t>
      </w:r>
      <w:r w:rsidR="006A5194" w:rsidRPr="00CD58B4">
        <w:rPr>
          <w:sz w:val="22"/>
        </w:rPr>
        <w:t>To assist us in raising the profile of the Foundation all recipients are required to acknowledge their partnership with the Red Deer &amp; District Community Foundation in all project communications.</w:t>
      </w:r>
    </w:p>
    <w:p w:rsidR="006A5194" w:rsidRPr="006A5194" w:rsidRDefault="006A5194" w:rsidP="006A5194">
      <w:pPr>
        <w:pStyle w:val="BodyText2"/>
        <w:rPr>
          <w:sz w:val="22"/>
        </w:rPr>
      </w:pPr>
    </w:p>
    <w:p w:rsidR="00B25B38" w:rsidRPr="006A5194" w:rsidRDefault="00B25B38">
      <w:pPr>
        <w:rPr>
          <w:sz w:val="22"/>
        </w:rPr>
      </w:pPr>
    </w:p>
    <w:sectPr w:rsidR="00B25B38" w:rsidRPr="006A5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4"/>
    <w:rsid w:val="00035784"/>
    <w:rsid w:val="002F0D2E"/>
    <w:rsid w:val="00671F8E"/>
    <w:rsid w:val="006A5194"/>
    <w:rsid w:val="00786950"/>
    <w:rsid w:val="00B25B38"/>
    <w:rsid w:val="00C44809"/>
    <w:rsid w:val="00CD58B4"/>
    <w:rsid w:val="00DD0210"/>
    <w:rsid w:val="00E34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5E0C58"/>
  <w15:chartTrackingRefBased/>
  <w15:docId w15:val="{9FB79DB3-457F-43C6-9BB9-28D5F52C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19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6A5194"/>
    <w:pPr>
      <w:keepNext/>
      <w:jc w:val="center"/>
      <w:outlineLvl w:val="1"/>
    </w:pPr>
    <w:rPr>
      <w:sz w:val="28"/>
    </w:rPr>
  </w:style>
  <w:style w:type="paragraph" w:styleId="Heading3">
    <w:name w:val="heading 3"/>
    <w:basedOn w:val="Normal"/>
    <w:next w:val="Normal"/>
    <w:link w:val="Heading3Char"/>
    <w:qFormat/>
    <w:rsid w:val="006A5194"/>
    <w:pPr>
      <w:keepNext/>
      <w:jc w:val="cente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FFD"/>
    <w:pPr>
      <w:framePr w:w="7920" w:h="1980" w:hRule="exact" w:hSpace="180" w:wrap="auto" w:hAnchor="page" w:xAlign="center" w:yAlign="bottom"/>
      <w:ind w:left="2880"/>
    </w:pPr>
    <w:rPr>
      <w:rFonts w:ascii="Century Gothic" w:eastAsiaTheme="majorEastAsia" w:hAnsi="Century Gothic" w:cstheme="majorBidi"/>
      <w:sz w:val="24"/>
      <w:szCs w:val="24"/>
    </w:rPr>
  </w:style>
  <w:style w:type="character" w:customStyle="1" w:styleId="Heading2Char">
    <w:name w:val="Heading 2 Char"/>
    <w:basedOn w:val="DefaultParagraphFont"/>
    <w:link w:val="Heading2"/>
    <w:rsid w:val="006A5194"/>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6A5194"/>
    <w:rPr>
      <w:rFonts w:ascii="Times New Roman" w:eastAsia="Times New Roman" w:hAnsi="Times New Roman" w:cs="Times New Roman"/>
      <w:i/>
      <w:sz w:val="24"/>
      <w:szCs w:val="20"/>
      <w:lang w:val="en-US"/>
    </w:rPr>
  </w:style>
  <w:style w:type="paragraph" w:styleId="Title">
    <w:name w:val="Title"/>
    <w:basedOn w:val="Normal"/>
    <w:link w:val="TitleChar"/>
    <w:qFormat/>
    <w:rsid w:val="006A5194"/>
    <w:pPr>
      <w:jc w:val="center"/>
    </w:pPr>
    <w:rPr>
      <w:b/>
      <w:sz w:val="40"/>
    </w:rPr>
  </w:style>
  <w:style w:type="character" w:customStyle="1" w:styleId="TitleChar">
    <w:name w:val="Title Char"/>
    <w:basedOn w:val="DefaultParagraphFont"/>
    <w:link w:val="Title"/>
    <w:rsid w:val="006A5194"/>
    <w:rPr>
      <w:rFonts w:ascii="Times New Roman" w:eastAsia="Times New Roman" w:hAnsi="Times New Roman" w:cs="Times New Roman"/>
      <w:b/>
      <w:sz w:val="40"/>
      <w:szCs w:val="20"/>
      <w:lang w:val="en-US"/>
    </w:rPr>
  </w:style>
  <w:style w:type="paragraph" w:styleId="BodyText">
    <w:name w:val="Body Text"/>
    <w:basedOn w:val="Normal"/>
    <w:link w:val="BodyTextChar"/>
    <w:rsid w:val="006A5194"/>
    <w:pPr>
      <w:jc w:val="both"/>
    </w:pPr>
    <w:rPr>
      <w:i/>
      <w:sz w:val="24"/>
    </w:rPr>
  </w:style>
  <w:style w:type="character" w:customStyle="1" w:styleId="BodyTextChar">
    <w:name w:val="Body Text Char"/>
    <w:basedOn w:val="DefaultParagraphFont"/>
    <w:link w:val="BodyText"/>
    <w:rsid w:val="006A5194"/>
    <w:rPr>
      <w:rFonts w:ascii="Times New Roman" w:eastAsia="Times New Roman" w:hAnsi="Times New Roman" w:cs="Times New Roman"/>
      <w:i/>
      <w:sz w:val="24"/>
      <w:szCs w:val="20"/>
      <w:lang w:val="en-US"/>
    </w:rPr>
  </w:style>
  <w:style w:type="paragraph" w:styleId="BodyText2">
    <w:name w:val="Body Text 2"/>
    <w:basedOn w:val="Normal"/>
    <w:link w:val="BodyText2Char"/>
    <w:rsid w:val="006A5194"/>
    <w:pPr>
      <w:jc w:val="both"/>
    </w:pPr>
    <w:rPr>
      <w:sz w:val="24"/>
    </w:rPr>
  </w:style>
  <w:style w:type="character" w:customStyle="1" w:styleId="BodyText2Char">
    <w:name w:val="Body Text 2 Char"/>
    <w:basedOn w:val="DefaultParagraphFont"/>
    <w:link w:val="BodyText2"/>
    <w:rsid w:val="006A5194"/>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6A5194"/>
    <w:rPr>
      <w:rFonts w:ascii="Tahoma" w:hAnsi="Tahoma" w:cs="Tahoma"/>
      <w:sz w:val="16"/>
      <w:szCs w:val="16"/>
    </w:rPr>
  </w:style>
  <w:style w:type="character" w:customStyle="1" w:styleId="BalloonTextChar">
    <w:name w:val="Balloon Text Char"/>
    <w:basedOn w:val="DefaultParagraphFont"/>
    <w:link w:val="BalloonText"/>
    <w:semiHidden/>
    <w:rsid w:val="006A51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Acheson</dc:creator>
  <cp:keywords/>
  <dc:description/>
  <cp:lastModifiedBy>Sher Acheson</cp:lastModifiedBy>
  <cp:revision>4</cp:revision>
  <dcterms:created xsi:type="dcterms:W3CDTF">2019-12-20T19:34:00Z</dcterms:created>
  <dcterms:modified xsi:type="dcterms:W3CDTF">2019-12-20T20:39:00Z</dcterms:modified>
</cp:coreProperties>
</file>